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MINUTA</w:t>
      </w:r>
      <w:commentRangeStart w:id="0"/>
      <w:r w:rsidDel="00000000" w:rsidR="00000000" w:rsidRPr="00000000">
        <w:rPr>
          <w:rFonts w:ascii="Arial" w:cs="Arial" w:eastAsia="Arial" w:hAnsi="Arial"/>
          <w:b w:val="1"/>
          <w:bCs w:val="1"/>
          <w:color w:val="000000"/>
          <w:sz w:val="20"/>
          <w:szCs w:val="20"/>
          <w:rtl w:val="0"/>
        </w:rPr>
        <w:t xml:space="preserve"> DE TERMO DE CONTRATO</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Lei nº 14.133, de 1º de abril de 2021</w:t>
      </w:r>
      <w:r w:rsidDel="00000000" w:rsidR="00000000" w:rsidRPr="00000000">
        <w:rPr>
          <w:rtl w:val="0"/>
        </w:rPr>
        <w:br w:type="textWrapping"/>
      </w:r>
      <w:r w:rsidDel="00000000" w:rsidR="00000000" w:rsidRPr="00000000">
        <w:rPr>
          <w:rFonts w:ascii="Arial" w:cs="Arial" w:eastAsia="Arial" w:hAnsi="Arial"/>
          <w:b w:val="1"/>
          <w:bCs w:val="1"/>
          <w:color w:val="000000"/>
          <w:sz w:val="20"/>
          <w:szCs w:val="20"/>
          <w:rtl w:val="0"/>
        </w:rPr>
        <w:t xml:space="preserve">SERVIÇOS CONTÍNUOS COM REGIME DE DEDICAÇÃO EXCLUSIVA DE MÃO DE OBRA – LICITAÇÃO</w:t>
      </w:r>
      <w:commentRangeEnd w:id="0"/>
      <w:r w:rsidDel="00000000" w:rsidR="00000000" w:rsidRPr="00000000">
        <w:commentReference w:id="0"/>
      </w:r>
      <w:r w:rsidDel="00000000" w:rsidR="00000000" w:rsidRPr="00000000">
        <w:rPr>
          <w:rFonts w:ascii="Arial" w:cs="Arial" w:eastAsia="Arial" w:hAnsi="Arial"/>
          <w:b w:val="1"/>
          <w:bCs w:val="1"/>
          <w:color w:val="000000"/>
          <w:sz w:val="20"/>
          <w:szCs w:val="20"/>
          <w:rtl w:val="0"/>
        </w:rPr>
        <w:t xml:space="preserve">  E CONTRATAÇÃO DIRETA</w:t>
      </w:r>
    </w:p>
    <w:p w:rsidR="00000000" w:rsidDel="00000000" w:rsidP="00000000" w:rsidRDefault="00000000" w:rsidRPr="00000000" w14:paraId="00000002">
      <w:pPr>
        <w:spacing w:after="288" w:before="360" w:line="312" w:lineRule="auto"/>
        <w:jc w:val="center"/>
        <w:rPr>
          <w:rFonts w:ascii="Arial" w:cs="Arial" w:eastAsia="Arial" w:hAnsi="Arial"/>
          <w:b w:val="1"/>
          <w:bCs w:val="1"/>
          <w:i w:val="1"/>
          <w:iCs w:val="1"/>
          <w:color w:val="ff0000"/>
          <w:sz w:val="20"/>
          <w:szCs w:val="20"/>
        </w:rPr>
      </w:pPr>
      <w:r w:rsidDel="00000000" w:rsidR="00000000" w:rsidRPr="00000000">
        <w:rPr>
          <w:rFonts w:ascii="Arial" w:cs="Arial" w:eastAsia="Arial" w:hAnsi="Arial"/>
          <w:b w:val="1"/>
          <w:bCs w:val="1"/>
          <w:i w:val="1"/>
          <w:iCs w:val="1"/>
          <w:color w:val="ff0000"/>
          <w:sz w:val="20"/>
          <w:szCs w:val="20"/>
          <w:rtl w:val="0"/>
        </w:rPr>
        <w:t xml:space="preserve">ÓRGÃO OU ENTIDADE PÚBLICA</w:t>
      </w:r>
      <w:r w:rsidDel="00000000" w:rsidR="00000000" w:rsidRPr="00000000">
        <w:drawing>
          <wp:anchor allowOverlap="1" behindDoc="0" distB="0" distT="0" distL="114300" distR="114300" hidden="0" layoutInCell="1" locked="0" relativeHeight="0" simplePos="0">
            <wp:simplePos x="0" y="0"/>
            <wp:positionH relativeFrom="column">
              <wp:posOffset>2818130</wp:posOffset>
            </wp:positionH>
            <wp:positionV relativeFrom="paragraph">
              <wp:posOffset>64135</wp:posOffset>
            </wp:positionV>
            <wp:extent cx="737870" cy="805815"/>
            <wp:effectExtent b="0" l="0" r="0" t="0"/>
            <wp:wrapTopAndBottom distB="0" dist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5815"/>
                    </a:xfrm>
                    <a:prstGeom prst="rect"/>
                    <a:ln/>
                  </pic:spPr>
                </pic:pic>
              </a:graphicData>
            </a:graphic>
          </wp:anchor>
        </w:drawing>
      </w:r>
    </w:p>
    <w:p w:rsidR="00000000" w:rsidDel="00000000" w:rsidP="00000000" w:rsidRDefault="00000000" w:rsidRPr="00000000" w14:paraId="00000003">
      <w:pPr>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Administrativo n° </w:t>
      </w:r>
      <w:r w:rsidDel="00000000" w:rsidR="00000000" w:rsidRPr="00000000">
        <w:rPr>
          <w:rFonts w:ascii="Arial" w:cs="Arial" w:eastAsia="Arial" w:hAnsi="Arial"/>
          <w:i w:val="1"/>
          <w:iCs w:val="1"/>
          <w:color w:val="4f81bd"/>
          <w:sz w:val="20"/>
          <w:szCs w:val="20"/>
          <w:rtl w:val="0"/>
        </w:rPr>
        <w:t xml:space="preserve">23432.000279.2026-94</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FAZEM ENTRE SI A UNIÃO, POR INTERMÉDIO DO (A) ......................................................... E .............................................................  </w:t>
      </w:r>
    </w:p>
    <w:p w:rsidR="00000000" w:rsidDel="00000000" w:rsidP="00000000" w:rsidRDefault="00000000" w:rsidRPr="00000000" w14:paraId="00000005">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color w:val="4f81bd"/>
          <w:sz w:val="20"/>
          <w:szCs w:val="20"/>
          <w:rtl w:val="0"/>
        </w:rPr>
        <w:t xml:space="preserve">A Autarquia INSTITUTO FEDERAL DE EDUCAÇÃO, CIÊNCIA E TECNOLOGIA DE SÃO PAULO - CAMPUS DE CATANDUVA, por intermédio da Coordenadoria de Licitações e Contratos, com sede na Rua Pastor José Dutra de Moraes, n° 239, Distrito Industrial Antônio Záccaro, na cidade de Catanduva/SP, inscrito(a) no CNPJ sob o nº 10.882.594/0013-07, neste ato representado(a) pelo Diretor Geral, Sr. Murilo Secchieri de Carvalho, nomeado pela Portaria no 1.490/2025, de 09 de abril de 2025, publicada no DOU de 10 de abril de 2025, portador da Matrícula Funcional nº 1880530, doravante denominado CONTRATANTE,</w:t>
      </w:r>
      <w:commentRangeStart w:id="1"/>
      <w:r w:rsidDel="00000000" w:rsidR="00000000" w:rsidRPr="00000000">
        <w:rPr>
          <w:rFonts w:ascii="Arial" w:cs="Arial" w:eastAsia="Arial" w:hAnsi="Arial"/>
          <w:sz w:val="20"/>
          <w:szCs w:val="20"/>
          <w:rtl w:val="0"/>
        </w:rPr>
        <w:t xml:space="preserve"> e o(a) </w:t>
      </w:r>
      <w:r w:rsidDel="00000000" w:rsidR="00000000" w:rsidRPr="00000000">
        <w:rPr>
          <w:rFonts w:ascii="Arial" w:cs="Arial" w:eastAsia="Arial" w:hAnsi="Arial"/>
          <w:i w:val="1"/>
          <w:iCs w:val="1"/>
          <w:color w:val="ff0000"/>
          <w:sz w:val="20"/>
          <w:szCs w:val="20"/>
          <w:rtl w:val="0"/>
        </w:rPr>
        <w:t xml:space="preserve">[CONTRATADO]</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color w:val="ff0000"/>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color w:val="ff0000"/>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color w:val="ff0000"/>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color w:val="ff0000"/>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i w:val="1"/>
          <w:iCs w:val="1"/>
          <w:color w:val="ff0000"/>
          <w:sz w:val="20"/>
          <w:szCs w:val="20"/>
          <w:rtl w:val="0"/>
        </w:rPr>
        <w:t xml:space="preserve">[atos constitutivos da empresa] </w:t>
      </w:r>
      <w:r w:rsidDel="00000000" w:rsidR="00000000" w:rsidRPr="00000000">
        <w:rPr>
          <w:rFonts w:ascii="Arial" w:cs="Arial" w:eastAsia="Arial" w:hAnsi="Arial"/>
          <w:b w:val="1"/>
          <w:bCs w:val="1"/>
          <w:i w:val="1"/>
          <w:iCs w:val="1"/>
          <w:color w:val="ff0000"/>
          <w:sz w:val="20"/>
          <w:szCs w:val="20"/>
          <w:rtl w:val="0"/>
        </w:rPr>
        <w:t xml:space="preserve">OU</w:t>
      </w:r>
      <w:r w:rsidDel="00000000" w:rsidR="00000000" w:rsidRPr="00000000">
        <w:rPr>
          <w:rFonts w:ascii="Arial" w:cs="Arial" w:eastAsia="Arial" w:hAnsi="Arial"/>
          <w:i w:val="1"/>
          <w:iCs w:val="1"/>
          <w:color w:val="ff0000"/>
          <w:sz w:val="20"/>
          <w:szCs w:val="20"/>
          <w:rtl w:val="0"/>
        </w:rPr>
        <w:t xml:space="preserve"> [procuração apresentada nos autos],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i w:val="1"/>
          <w:iCs w:val="1"/>
          <w:color w:val="4f81bd"/>
          <w:sz w:val="20"/>
          <w:szCs w:val="20"/>
          <w:rtl w:val="0"/>
        </w:rPr>
        <w:t xml:space="preserve">23432.000279.2026-94</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i w:val="1"/>
          <w:iCs w:val="1"/>
          <w:color w:val="ff0000"/>
          <w:sz w:val="20"/>
          <w:szCs w:val="20"/>
          <w:rtl w:val="0"/>
        </w:rPr>
        <w:t xml:space="preserve"> [Pregão Eletrônico] </w:t>
      </w:r>
      <w:r w:rsidDel="00000000" w:rsidR="00000000" w:rsidRPr="00000000">
        <w:rPr>
          <w:rFonts w:ascii="Arial" w:cs="Arial" w:eastAsia="Arial" w:hAnsi="Arial"/>
          <w:b w:val="1"/>
          <w:bCs w:val="1"/>
          <w:i w:val="1"/>
          <w:iCs w:val="1"/>
          <w:strike w:val="1"/>
          <w:color w:val="ff0000"/>
          <w:sz w:val="20"/>
          <w:szCs w:val="20"/>
          <w:u w:val="single"/>
          <w:rtl w:val="0"/>
        </w:rPr>
        <w:t xml:space="preserve">OU</w:t>
      </w:r>
      <w:r w:rsidDel="00000000" w:rsidR="00000000" w:rsidRPr="00000000">
        <w:rPr>
          <w:rFonts w:ascii="Arial" w:cs="Arial" w:eastAsia="Arial" w:hAnsi="Arial"/>
          <w:i w:val="1"/>
          <w:iCs w:val="1"/>
          <w:strike w:val="1"/>
          <w:color w:val="ff0000"/>
          <w:sz w:val="20"/>
          <w:szCs w:val="20"/>
          <w:rtl w:val="0"/>
        </w:rPr>
        <w:t xml:space="preserve"> [Concorrência]</w:t>
      </w:r>
      <w:r w:rsidDel="00000000" w:rsidR="00000000" w:rsidRPr="00000000">
        <w:rPr>
          <w:rFonts w:ascii="Arial" w:cs="Arial" w:eastAsia="Arial" w:hAnsi="Arial"/>
          <w:b w:val="1"/>
          <w:bCs w:val="1"/>
          <w:i w:val="1"/>
          <w:iCs w:val="1"/>
          <w:strike w:val="1"/>
          <w:color w:val="ff0000"/>
          <w:sz w:val="20"/>
          <w:szCs w:val="20"/>
          <w:u w:val="single"/>
          <w:rtl w:val="0"/>
        </w:rPr>
        <w:t xml:space="preserve"> OU </w:t>
      </w:r>
      <w:r w:rsidDel="00000000" w:rsidR="00000000" w:rsidRPr="00000000">
        <w:rPr>
          <w:rFonts w:ascii="Arial" w:cs="Arial" w:eastAsia="Arial" w:hAnsi="Arial"/>
          <w:i w:val="1"/>
          <w:iCs w:val="1"/>
          <w:strike w:val="1"/>
          <w:color w:val="ff0000"/>
          <w:sz w:val="20"/>
          <w:szCs w:val="20"/>
          <w:u w:val="single"/>
          <w:rtl w:val="0"/>
        </w:rPr>
        <w:t xml:space="preserve">[</w:t>
      </w:r>
      <w:r w:rsidDel="00000000" w:rsidR="00000000" w:rsidRPr="00000000">
        <w:rPr>
          <w:rFonts w:ascii="Arial" w:cs="Arial" w:eastAsia="Arial" w:hAnsi="Arial"/>
          <w:i w:val="1"/>
          <w:iCs w:val="1"/>
          <w:strike w:val="1"/>
          <w:color w:val="ff0000"/>
          <w:sz w:val="20"/>
          <w:szCs w:val="20"/>
          <w:highlight w:val="yellow"/>
          <w:rtl w:val="0"/>
        </w:rPr>
        <w:t xml:space="preserve">Dispensa de Licitação] </w:t>
      </w:r>
      <w:r w:rsidDel="00000000" w:rsidR="00000000" w:rsidRPr="00000000">
        <w:rPr>
          <w:rFonts w:ascii="Arial" w:cs="Arial" w:eastAsia="Arial" w:hAnsi="Arial"/>
          <w:b w:val="1"/>
          <w:bCs w:val="1"/>
          <w:i w:val="1"/>
          <w:iCs w:val="1"/>
          <w:strike w:val="1"/>
          <w:color w:val="ff0000"/>
          <w:sz w:val="20"/>
          <w:szCs w:val="20"/>
          <w:highlight w:val="yellow"/>
          <w:u w:val="single"/>
          <w:rtl w:val="0"/>
        </w:rPr>
        <w:t xml:space="preserve">OU</w:t>
      </w:r>
      <w:r w:rsidDel="00000000" w:rsidR="00000000" w:rsidRPr="00000000">
        <w:rPr>
          <w:rFonts w:ascii="Arial" w:cs="Arial" w:eastAsia="Arial" w:hAnsi="Arial"/>
          <w:i w:val="1"/>
          <w:iCs w:val="1"/>
          <w:strike w:val="1"/>
          <w:color w:val="ff0000"/>
          <w:sz w:val="20"/>
          <w:szCs w:val="20"/>
          <w:highlight w:val="yellow"/>
          <w:rtl w:val="0"/>
        </w:rPr>
        <w:t xml:space="preserve"> [Inexigibilidade de Licitação</w:t>
      </w:r>
      <w:r w:rsidDel="00000000" w:rsidR="00000000" w:rsidRPr="00000000">
        <w:rPr>
          <w:rFonts w:ascii="Arial" w:cs="Arial" w:eastAsia="Arial" w:hAnsi="Arial"/>
          <w:i w:val="1"/>
          <w:iCs w:val="1"/>
          <w:strike w:val="1"/>
          <w:color w:val="ff0000"/>
          <w:sz w:val="20"/>
          <w:szCs w:val="20"/>
          <w:rtl w:val="0"/>
        </w:rPr>
        <w:t xml:space="preserve">]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iCs w:val="1"/>
          <w:color w:val="ff0000"/>
          <w:sz w:val="20"/>
          <w:szCs w:val="20"/>
          <w:rtl w:val="0"/>
        </w:rPr>
        <w:t xml:space="preserve"> XX/XXXX,</w:t>
      </w:r>
      <w:r w:rsidDel="00000000" w:rsidR="00000000" w:rsidRPr="00000000">
        <w:rPr>
          <w:rFonts w:ascii="Arial" w:cs="Arial" w:eastAsia="Arial" w:hAnsi="Arial"/>
          <w:sz w:val="20"/>
          <w:szCs w:val="20"/>
          <w:rtl w:val="0"/>
        </w:rPr>
        <w:t xml:space="preserve"> mediante as cláusulas e condições a seguir enunciadas.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0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 presente instrumento é a contratação de serviços contínuos de </w:t>
      </w:r>
      <w:r w:rsidDel="00000000" w:rsidR="00000000" w:rsidRPr="00000000">
        <w:rPr>
          <w:rFonts w:ascii="Arial" w:cs="Arial" w:eastAsia="Arial" w:hAnsi="Arial"/>
          <w:i w:val="1"/>
          <w:iCs w:val="1"/>
          <w:color w:val="4f81bd"/>
          <w:sz w:val="20"/>
          <w:szCs w:val="20"/>
          <w:rtl w:val="0"/>
        </w:rPr>
        <w:t xml:space="preserve">vigilância e segurança patrimonial, desarmada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serem executados com regime de dedicação exclusiva de mão de obra, nas condições estabelecidas no Termo de Referência.</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p>
    <w:p w:rsidR="00000000" w:rsidDel="00000000" w:rsidP="00000000" w:rsidRDefault="00000000" w:rsidRPr="00000000" w14:paraId="00000009">
      <w:pPr>
        <w:spacing w:after="120" w:before="120" w:line="276" w:lineRule="auto"/>
        <w:ind w:left="-285" w:firstLine="0"/>
        <w:jc w:val="both"/>
        <w:rPr>
          <w:rFonts w:ascii="Arial" w:cs="Arial" w:eastAsia="Arial" w:hAnsi="Arial"/>
          <w:sz w:val="20"/>
          <w:szCs w:val="20"/>
        </w:rPr>
      </w:pPr>
      <w:bookmarkStart w:colFirst="0" w:colLast="0" w:name="_udbrp9u4uk76" w:id="0"/>
      <w:bookmarkEnd w:id="0"/>
      <w:r w:rsidDel="00000000" w:rsidR="00000000" w:rsidRPr="00000000">
        <w:rPr>
          <w:rtl w:val="0"/>
        </w:rPr>
      </w:r>
    </w:p>
    <w:tbl>
      <w:tblPr>
        <w:tblStyle w:val="Table1"/>
        <w:tblW w:w="10590.0" w:type="dxa"/>
        <w:jc w:val="left"/>
        <w:tblInd w:w="-935.0" w:type="dxa"/>
        <w:tblLayout w:type="fixed"/>
        <w:tblLook w:val="0400"/>
      </w:tblPr>
      <w:tblGrid>
        <w:gridCol w:w="735"/>
        <w:gridCol w:w="2670"/>
        <w:gridCol w:w="1065"/>
        <w:gridCol w:w="1170"/>
        <w:gridCol w:w="1035"/>
        <w:gridCol w:w="1260"/>
        <w:gridCol w:w="1245"/>
        <w:gridCol w:w="1410"/>
        <w:tblGridChange w:id="0">
          <w:tblGrid>
            <w:gridCol w:w="735"/>
            <w:gridCol w:w="2670"/>
            <w:gridCol w:w="1065"/>
            <w:gridCol w:w="1170"/>
            <w:gridCol w:w="1035"/>
            <w:gridCol w:w="1260"/>
            <w:gridCol w:w="1245"/>
            <w:gridCol w:w="1410"/>
          </w:tblGrid>
        </w:tblGridChange>
      </w:tblGrid>
      <w:tr>
        <w:trPr>
          <w:cantSplit w:val="0"/>
          <w:trHeight w:val="851" w:hRule="atLeast"/>
          <w:tblHeader w:val="0"/>
        </w:trPr>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0A">
            <w:pPr>
              <w:widowControl w:val="0"/>
              <w:spacing w:after="288" w:before="120" w:line="312" w:lineRule="auto"/>
              <w:ind w:left="-210"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ITEM</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0B">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ESPECIFICAÇÃO</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0C">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CATMAT</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0D">
            <w:pPr>
              <w:widowControl w:val="0"/>
              <w:spacing w:after="288" w:before="120" w:line="312"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UNIDADE DE MEDIDA</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0E">
            <w:pPr>
              <w:widowControl w:val="0"/>
              <w:spacing w:after="288" w:before="120" w:line="312"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QTD (meses)</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0F">
            <w:pPr>
              <w:widowControl w:val="0"/>
              <w:spacing w:after="288" w:before="120" w:line="312"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VALOR MENSAL</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0">
            <w:pPr>
              <w:widowControl w:val="0"/>
              <w:spacing w:after="288" w:before="120" w:line="312"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VALOR ANUAL</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1">
            <w:pPr>
              <w:widowControl w:val="0"/>
              <w:spacing w:after="288" w:before="120" w:line="312"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VALOR TOTAL</w:t>
            </w:r>
          </w:p>
        </w:tc>
      </w:tr>
      <w:tr>
        <w:trPr>
          <w:cantSplit w:val="0"/>
          <w:trHeight w:val="567" w:hRule="atLeast"/>
          <w:tblHeader w:val="0"/>
        </w:trPr>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2">
            <w:pPr>
              <w:widowControl w:val="0"/>
              <w:spacing w:after="288" w:before="120" w:line="312" w:lineRule="auto"/>
              <w:jc w:val="center"/>
              <w:rPr>
                <w:rFonts w:ascii="Arial" w:cs="Arial" w:eastAsia="Arial" w:hAnsi="Arial"/>
                <w:b w:val="1"/>
                <w:bCs w:val="1"/>
                <w:color w:val="4f81bd"/>
                <w:sz w:val="20"/>
                <w:szCs w:val="20"/>
              </w:rPr>
            </w:pPr>
            <w:r w:rsidDel="00000000" w:rsidR="00000000" w:rsidRPr="00000000">
              <w:rPr>
                <w:rFonts w:ascii="Arial" w:cs="Arial" w:eastAsia="Arial" w:hAnsi="Arial"/>
                <w:b w:val="1"/>
                <w:bCs w:val="1"/>
                <w:color w:val="4f81bd"/>
                <w:sz w:val="20"/>
                <w:szCs w:val="20"/>
                <w:rtl w:val="0"/>
              </w:rPr>
              <w:t xml:space="preserve">1</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3">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PRESTAÇÃO DE SERVIÇO DE VIGILÂNCIA E SEGURANÇA - ORGÂNICA -12 HORAS DIURNAS - 2ª A DOMINGO</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4">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23647</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5">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Posto</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6">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36</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7">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R$ 15.649,10</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8">
            <w:pPr>
              <w:widowControl w:val="0"/>
              <w:spacing w:after="288" w:before="120" w:line="312" w:lineRule="auto"/>
              <w:rPr>
                <w:rFonts w:ascii="Arial" w:cs="Arial" w:eastAsia="Arial" w:hAnsi="Arial"/>
                <w:color w:val="4f81bd"/>
                <w:sz w:val="18"/>
                <w:szCs w:val="18"/>
              </w:rPr>
            </w:pPr>
            <w:r w:rsidDel="00000000" w:rsidR="00000000" w:rsidRPr="00000000">
              <w:rPr>
                <w:rFonts w:ascii="Arial" w:cs="Arial" w:eastAsia="Arial" w:hAnsi="Arial"/>
                <w:color w:val="4f81bd"/>
                <w:sz w:val="18"/>
                <w:szCs w:val="18"/>
                <w:rtl w:val="0"/>
              </w:rPr>
              <w:t xml:space="preserve">R$ 187.789,17</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9">
            <w:pPr>
              <w:widowControl w:val="0"/>
              <w:spacing w:after="288" w:before="120" w:line="312" w:lineRule="auto"/>
              <w:rPr>
                <w:rFonts w:ascii="Arial" w:cs="Arial" w:eastAsia="Arial" w:hAnsi="Arial"/>
                <w:color w:val="4f81bd"/>
                <w:sz w:val="18"/>
                <w:szCs w:val="18"/>
              </w:rPr>
            </w:pPr>
            <w:r w:rsidDel="00000000" w:rsidR="00000000" w:rsidRPr="00000000">
              <w:rPr>
                <w:rFonts w:ascii="Arial" w:cs="Arial" w:eastAsia="Arial" w:hAnsi="Arial"/>
                <w:color w:val="4f81bd"/>
                <w:sz w:val="18"/>
                <w:szCs w:val="18"/>
                <w:rtl w:val="0"/>
              </w:rPr>
              <w:t xml:space="preserve">R$ 562.846,19</w:t>
            </w:r>
          </w:p>
        </w:tc>
      </w:tr>
      <w:tr>
        <w:trPr>
          <w:cantSplit w:val="0"/>
          <w:trHeight w:val="882" w:hRule="atLeast"/>
          <w:tblHeader w:val="0"/>
        </w:trPr>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A">
            <w:pPr>
              <w:widowControl w:val="0"/>
              <w:spacing w:after="288" w:before="120" w:line="312" w:lineRule="auto"/>
              <w:jc w:val="center"/>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2</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B">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PRESTAÇÃO DE SERVIÇO DE VIGILÂNCIA E SEGURANÇA - ORGÂNICA -12H NOTURNAS - 2ª A DOMINGO</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C">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23957</w:t>
            </w:r>
          </w:p>
          <w:p w:rsidR="00000000" w:rsidDel="00000000" w:rsidP="00000000" w:rsidRDefault="00000000" w:rsidRPr="00000000" w14:paraId="0000001D">
            <w:pPr>
              <w:widowControl w:val="0"/>
              <w:spacing w:after="288" w:before="120" w:line="312" w:lineRule="auto"/>
              <w:rPr>
                <w:rFonts w:ascii="Arial" w:cs="Arial" w:eastAsia="Arial" w:hAnsi="Arial"/>
                <w:color w:val="4f81bd"/>
                <w:sz w:val="20"/>
                <w:szCs w:val="20"/>
              </w:rPr>
            </w:pP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E">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Posto</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1F">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36</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0">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R$ 18.298,75</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1">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18"/>
                <w:szCs w:val="18"/>
                <w:rtl w:val="0"/>
              </w:rPr>
              <w:t xml:space="preserve">R$ </w:t>
            </w:r>
            <w:r w:rsidDel="00000000" w:rsidR="00000000" w:rsidRPr="00000000">
              <w:rPr>
                <w:rFonts w:ascii="Arial" w:cs="Arial" w:eastAsia="Arial" w:hAnsi="Arial"/>
                <w:color w:val="4f81bd"/>
                <w:sz w:val="20"/>
                <w:szCs w:val="20"/>
                <w:rtl w:val="0"/>
              </w:rPr>
              <w:t xml:space="preserve">219.585,03</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2">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18"/>
                <w:szCs w:val="18"/>
                <w:rtl w:val="0"/>
              </w:rPr>
              <w:t xml:space="preserve">R$ </w:t>
            </w:r>
            <w:r w:rsidDel="00000000" w:rsidR="00000000" w:rsidRPr="00000000">
              <w:rPr>
                <w:rFonts w:ascii="Arial" w:cs="Arial" w:eastAsia="Arial" w:hAnsi="Arial"/>
                <w:color w:val="4f81bd"/>
                <w:sz w:val="20"/>
                <w:szCs w:val="20"/>
                <w:rtl w:val="0"/>
              </w:rPr>
              <w:t xml:space="preserve">658.233,75</w:t>
            </w:r>
          </w:p>
        </w:tc>
      </w:tr>
      <w:tr>
        <w:trPr>
          <w:cantSplit w:val="0"/>
          <w:trHeight w:val="882" w:hRule="atLeast"/>
          <w:tblHeader w:val="0"/>
        </w:trPr>
        <w:tc>
          <w:tcPr>
            <w:gridSpan w:val="5"/>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3">
            <w:pPr>
              <w:widowControl w:val="0"/>
              <w:spacing w:after="288" w:before="120" w:line="312" w:lineRule="auto"/>
              <w:jc w:val="center"/>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Total</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8">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R$ 33.947,85</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9">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R$ 407.374,20</w:t>
            </w:r>
          </w:p>
        </w:tc>
        <w:tc>
          <w:tcPr>
            <w:tcBorders>
              <w:top w:color="999999" w:space="0" w:sz="4" w:val="single"/>
              <w:left w:color="999999" w:space="0" w:sz="4" w:val="single"/>
              <w:bottom w:color="999999" w:space="0" w:sz="4" w:val="single"/>
              <w:right w:color="999999" w:space="0" w:sz="4" w:val="single"/>
            </w:tcBorders>
          </w:tcPr>
          <w:p w:rsidR="00000000" w:rsidDel="00000000" w:rsidP="00000000" w:rsidRDefault="00000000" w:rsidRPr="00000000" w14:paraId="0000002A">
            <w:pPr>
              <w:widowControl w:val="0"/>
              <w:spacing w:after="288" w:before="120" w:line="312" w:lineRule="auto"/>
              <w:rPr>
                <w:rFonts w:ascii="Arial" w:cs="Arial" w:eastAsia="Arial" w:hAnsi="Arial"/>
                <w:color w:val="4f81bd"/>
                <w:sz w:val="20"/>
                <w:szCs w:val="20"/>
              </w:rPr>
            </w:pPr>
            <w:r w:rsidDel="00000000" w:rsidR="00000000" w:rsidRPr="00000000">
              <w:rPr>
                <w:rFonts w:ascii="Arial" w:cs="Arial" w:eastAsia="Arial" w:hAnsi="Arial"/>
                <w:color w:val="4f81bd"/>
                <w:sz w:val="20"/>
                <w:szCs w:val="20"/>
                <w:rtl w:val="0"/>
              </w:rPr>
              <w:t xml:space="preserve">R$ 1.221.079,94</w:t>
            </w:r>
          </w:p>
        </w:tc>
      </w:tr>
    </w:tbl>
    <w:p w:rsidR="00000000" w:rsidDel="00000000" w:rsidP="00000000" w:rsidRDefault="00000000" w:rsidRPr="00000000" w14:paraId="0000002B">
      <w:pPr>
        <w:spacing w:after="120" w:before="120" w:line="276" w:lineRule="auto"/>
        <w:jc w:val="both"/>
        <w:rPr>
          <w:rFonts w:ascii="Arial" w:cs="Arial" w:eastAsia="Arial" w:hAnsi="Arial"/>
          <w:sz w:val="20"/>
          <w:szCs w:val="20"/>
        </w:rPr>
      </w:pPr>
      <w:bookmarkStart w:colFirst="0" w:colLast="0" w:name="_lkbyb89xw8hb" w:id="1"/>
      <w:bookmarkEnd w:id="1"/>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contratação, independentemente de transcrição:</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Referência;</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Edital da Licitação]</w:t>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1"/>
          <w:color w:val="ff0000"/>
          <w:sz w:val="20"/>
          <w:szCs w:val="20"/>
          <w:u w:val="single"/>
          <w:shd w:fill="auto" w:val="clear"/>
          <w:vertAlign w:val="baseline"/>
          <w:rtl w:val="0"/>
        </w:rPr>
        <w:t xml:space="preserve">OU</w:t>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 [A Autorização de Contratação Direta] </w:t>
      </w:r>
      <w:r w:rsidDel="00000000" w:rsidR="00000000" w:rsidRPr="00000000">
        <w:rPr>
          <w:rFonts w:ascii="Arial" w:cs="Arial" w:eastAsia="Arial" w:hAnsi="Arial"/>
          <w:b w:val="1"/>
          <w:bCs w:val="1"/>
          <w:i w:val="1"/>
          <w:iCs w:val="1"/>
          <w:smallCaps w:val="0"/>
          <w:strike w:val="1"/>
          <w:color w:val="ff0000"/>
          <w:sz w:val="20"/>
          <w:szCs w:val="20"/>
          <w:u w:val="single"/>
          <w:shd w:fill="auto" w:val="clear"/>
          <w:vertAlign w:val="baseline"/>
          <w:rtl w:val="0"/>
        </w:rPr>
        <w:t xml:space="preserve">OU</w:t>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 [O Aviso de Dispensa Eletrônica]</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Proposta do CONTRATADO;</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anexos dos documentos supracitados.</w:t>
      </w:r>
    </w:p>
    <w:p w:rsidR="00000000" w:rsidDel="00000000" w:rsidP="00000000" w:rsidRDefault="00000000" w:rsidRPr="00000000" w14:paraId="0000003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bookmarkStart w:colFirst="0" w:colLast="0" w:name="_fegnzeyi99h" w:id="2"/>
      <w:bookmarkEnd w:id="2"/>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SEGUNDA – VIGÊNCIA E </w:t>
      </w:r>
      <w:commentRangeStart w:id="2"/>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PRORROGAÇÃO</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i w:val="1"/>
          <w:iCs w:val="1"/>
          <w:color w:val="4f81bd"/>
          <w:sz w:val="20"/>
          <w:szCs w:val="20"/>
          <w:rtl w:val="0"/>
        </w:rPr>
        <w:t xml:space="preserve">36 meses</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contados do(a)</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color w:val="4f81bd"/>
          <w:sz w:val="20"/>
          <w:szCs w:val="20"/>
          <w:rtl w:val="0"/>
        </w:rPr>
        <w:t xml:space="preserve">data de emissão da ordem de serviço</w:t>
      </w:r>
      <w:r w:rsidDel="00000000" w:rsidR="00000000" w:rsidRPr="00000000">
        <w:rPr>
          <w:rFonts w:ascii="Arial" w:cs="Arial" w:eastAsia="Arial" w:hAnsi="Arial"/>
          <w:b w:val="0"/>
          <w:bCs w:val="0"/>
          <w:i w:val="1"/>
          <w:iCs w:val="1"/>
          <w:smallCaps w:val="0"/>
          <w:strike w:val="0"/>
          <w:color w:val="4f81bd"/>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prorrogável sucessivamente por até 10 anos, na forma dos artigos 106 e 107 da Lei n° 14.133, de 2021.</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Estar formalmente demonstrado no processo que a forma de prestação dos serviços tem natureza continuada;</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Seja juntado relatório que discorra sobre a execução do contrato, com informações de que os serviços tenham sido prestados regularmente;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Seja juntada justificativa e motivo, por escrito, de que a Administração mantém interesse na realização do serviço;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Haja manifestação expressa do CONTRATADO informando o interesse na prorrogação;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Seja comprovado que o CONTRATADO mantém as condições iniciais de habilitação; e</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bookmarkStart w:colFirst="0" w:colLast="0" w:name="_mkyy052hqnqx" w:id="3"/>
      <w:bookmarkEnd w:id="3"/>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Não haja registro no Cadastro Informativo de créditos não quitados do setor público federal (</w:t>
      </w:r>
      <w:commentRangeStart w:id="3"/>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Cadin</w:t>
      </w:r>
      <w:commentRangeEnd w:id="3"/>
      <w:r w:rsidDel="00000000" w:rsidR="00000000" w:rsidRPr="00000000">
        <w:commentReference w:id="3"/>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0" w:right="0" w:firstLine="0"/>
        <w:jc w:val="center"/>
        <w:rPr>
          <w:rFonts w:ascii="Arial" w:cs="Arial" w:eastAsia="Arial" w:hAnsi="Arial"/>
          <w:b w:val="1"/>
          <w:bCs w:val="1"/>
          <w:i w:val="0"/>
          <w:iCs w:val="0"/>
          <w:smallCaps w:val="0"/>
          <w:strike w:val="1"/>
          <w:color w:val="ff0000"/>
          <w:sz w:val="24"/>
          <w:szCs w:val="24"/>
          <w:u w:val="single"/>
          <w:shd w:fill="auto" w:val="clear"/>
          <w:vertAlign w:val="baseline"/>
        </w:rPr>
      </w:pPr>
      <w:bookmarkStart w:colFirst="0" w:colLast="0" w:name="_vzlo8p7aads" w:id="4"/>
      <w:bookmarkEnd w:id="4"/>
      <w:r w:rsidDel="00000000" w:rsidR="00000000" w:rsidRPr="00000000">
        <w:rPr>
          <w:rFonts w:ascii="Arial" w:cs="Arial" w:eastAsia="Arial" w:hAnsi="Arial"/>
          <w:b w:val="1"/>
          <w:bCs w:val="1"/>
          <w:i w:val="0"/>
          <w:iCs w:val="0"/>
          <w:smallCaps w:val="0"/>
          <w:strike w:val="1"/>
          <w:color w:val="ff0000"/>
          <w:sz w:val="24"/>
          <w:szCs w:val="24"/>
          <w:u w:val="single"/>
          <w:shd w:fill="auto" w:val="clear"/>
          <w:vertAlign w:val="baseline"/>
          <w:rtl w:val="0"/>
        </w:rPr>
        <w:t xml:space="preserve">OU</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commentRangeStart w:id="4"/>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i w:val="1"/>
          <w:iCs w:val="1"/>
          <w:smallCaps w:val="0"/>
          <w:strike w:val="1"/>
          <w:color w:val="ff0000"/>
          <w:sz w:val="20"/>
          <w:szCs w:val="20"/>
          <w:u w:val="none"/>
          <w:shd w:fill="auto" w:val="clear"/>
          <w:vertAlign w:val="baseline"/>
          <w:rtl w:val="0"/>
        </w:rPr>
        <w:t xml:space="preserve">[indicar o prazo - </w:t>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máximo de um ano</w:t>
      </w:r>
      <w:r w:rsidDel="00000000" w:rsidR="00000000" w:rsidRPr="00000000">
        <w:rPr>
          <w:rFonts w:ascii="Arial" w:cs="Arial" w:eastAsia="Arial" w:hAnsi="Arial"/>
          <w:b w:val="1"/>
          <w:bCs w:val="1"/>
          <w:i w:val="1"/>
          <w:iCs w:val="1"/>
          <w:smallCaps w:val="0"/>
          <w:strike w:val="1"/>
          <w:color w:val="ff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 contados do(a)</w:t>
      </w:r>
      <w:r w:rsidDel="00000000" w:rsidR="00000000" w:rsidRPr="00000000">
        <w:rPr>
          <w:rFonts w:ascii="Arial" w:cs="Arial" w:eastAsia="Arial" w:hAnsi="Arial"/>
          <w:b w:val="0"/>
          <w:bCs w:val="0"/>
          <w:i w:val="0"/>
          <w:iCs w:val="0"/>
          <w:smallCaps w:val="0"/>
          <w:strike w:val="1"/>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1"/>
          <w:color w:val="ff0000"/>
          <w:sz w:val="20"/>
          <w:szCs w:val="20"/>
          <w:u w:val="none"/>
          <w:shd w:fill="auto" w:val="clear"/>
          <w:vertAlign w:val="baseline"/>
          <w:rtl w:val="0"/>
        </w:rPr>
        <w:t xml:space="preserve">[indicar o termo inicial da vigência]</w:t>
      </w:r>
      <w:r w:rsidDel="00000000" w:rsidR="00000000" w:rsidRPr="00000000">
        <w:rPr>
          <w:rFonts w:ascii="Arial" w:cs="Arial" w:eastAsia="Arial" w:hAnsi="Arial"/>
          <w:b w:val="0"/>
          <w:bCs w:val="0"/>
          <w:i w:val="0"/>
          <w:iCs w:val="0"/>
          <w:smallCaps w:val="0"/>
          <w:strike w:val="1"/>
          <w:color w:val="ff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 improrrogável, na forma do art. 75, VIII, da Lei n° 14.133/2021</w:t>
      </w:r>
      <w:commentRangeEnd w:id="4"/>
      <w:r w:rsidDel="00000000" w:rsidR="00000000" w:rsidRPr="00000000">
        <w:commentReference w:id="4"/>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bookmarkStart w:colFirst="0" w:colLast="0" w:name="_7xkcrafh59ih" w:id="5"/>
      <w:bookmarkEnd w:id="5"/>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4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bookmarkStart w:colFirst="0" w:colLast="0" w:name="_rx4y8fh1h33x" w:id="6"/>
      <w:bookmarkEnd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w:t>
      </w:r>
      <w:r w:rsidDel="00000000" w:rsidR="00000000" w:rsidRPr="00000000">
        <w:rPr>
          <w:rtl w:val="0"/>
        </w:rPr>
      </w:r>
    </w:p>
    <w:p w:rsidR="00000000" w:rsidDel="00000000" w:rsidP="00000000" w:rsidRDefault="00000000" w:rsidRPr="00000000" w14:paraId="0000004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valor mensal da contratação é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perfazendo o valor total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commentRangeStart w:id="5"/>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O valor acima é meramente estimativo, de forma que os pagamentos devidos ao CONTRATADO dependerão dos quantitativos efetivamente fornecidos.</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4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pagamento ao CONTRATADO e demais condições a ele referentes, inclusive quanto à utilização da Conta-Depósito Vinculada - bloqueada para movimentação ou do Pagamento pelo Fato Gerador, encontram-se definidos no Termo de Referência, anexo a este Contrato.</w:t>
      </w:r>
    </w:p>
    <w:p w:rsidR="00000000" w:rsidDel="00000000" w:rsidP="00000000" w:rsidRDefault="00000000" w:rsidRPr="00000000" w14:paraId="0000004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REPACTUAÇÃO DOS PREÇOS CONTRATADOS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da repactuação dos preços contratados são aquelas definidas no Termo de Referência, anexo a este Contrato.</w:t>
      </w:r>
    </w:p>
    <w:p w:rsidR="00000000" w:rsidDel="00000000" w:rsidP="00000000" w:rsidRDefault="00000000" w:rsidRPr="00000000" w14:paraId="0000004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p>
    <w:p w:rsidR="00000000" w:rsidDel="00000000" w:rsidP="00000000" w:rsidRDefault="00000000" w:rsidRPr="00000000" w14:paraId="0000005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p>
    <w:p w:rsidR="00000000" w:rsidDel="00000000" w:rsidP="00000000" w:rsidRDefault="00000000" w:rsidRPr="00000000" w14:paraId="0000005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5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645"/>
        <w:jc w:val="both"/>
        <w:rPr>
          <w:rFonts w:ascii="Arial" w:cs="Arial" w:eastAsia="Arial" w:hAnsi="Arial"/>
          <w:sz w:val="20"/>
          <w:szCs w:val="20"/>
        </w:rPr>
      </w:pPr>
      <w:bookmarkStart w:colFirst="0" w:colLast="0" w:name="_sfb2hnyo7tat" w:id="7"/>
      <w:bookmarkEnd w:id="7"/>
      <w:commentRangeStart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terá o prazo 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i w:val="1"/>
          <w:iCs w:val="1"/>
          <w:color w:val="4f81bd"/>
          <w:sz w:val="20"/>
          <w:szCs w:val="20"/>
          <w:rtl w:val="0"/>
        </w:rPr>
        <w:t xml:space="preserve">30 dias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contar da data do protocolo do requerimento para decidir, admitida a prorrogação motivada, por igual período.</w:t>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commentRangeStart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i w:val="1"/>
          <w:iCs w:val="1"/>
          <w:color w:val="4f81bd"/>
          <w:sz w:val="20"/>
          <w:szCs w:val="20"/>
          <w:rtl w:val="0"/>
        </w:rPr>
        <w:t xml:space="preserve">30 dias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bookmarkStart w:colFirst="0" w:colLast="0" w:name="_uoqns4p3624v" w:id="8"/>
      <w:bookmarkEnd w:id="8"/>
      <w:commentRangeStart w:id="8"/>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Notificar os emitentes das garantias quanto ao início de processo administrativo para apuração de descumprimento de cláusulas contratuais</w:t>
      </w:r>
      <w:commentRangeEnd w:id="8"/>
      <w:r w:rsidDel="00000000" w:rsidR="00000000" w:rsidRPr="00000000">
        <w:commentReference w:id="8"/>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o CONTRATADO na hipótese de posterior alteração do projeto pelo CONTRATANTE, no caso do art. 93, §2º, da Lei nº 14.133, de 2021.</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6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commentRangeStart w:id="9"/>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commentRangeStart w:id="1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w:t>
      </w:r>
      <w:commentRangeEnd w:id="11"/>
      <w:r w:rsidDel="00000000" w:rsidR="00000000" w:rsidRPr="00000000">
        <w:commentReference w:id="11"/>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bookmarkStart w:colFirst="0" w:colLast="0" w:name="_gyl8rf3pfkl9"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da obra ou do serviço para representá-lo na execução do contrato;</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Vedar a utilização, na execução dos serviços, de empregado que seja familiar de agente público ocupante de cargo em comissão ou função de confiança no órgão contratante, nos termos do artigo 7° do Decreto n° 7.203, de 2010;</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Disponibilizar ao CONTRATANTE os empregados devidamente uniformizados e identificados por meio de crachá, além de provê-los com os Equipamentos de Proteção Individual - EPI, quando for o caso;</w:t>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os uniformes a serem utilizados por seus empregados, conforme disposto no Termo de Referência, sem repassar quaisquer custos a estes;</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relação mensal dos empregados que expressamente optarem por não receber o vale-transporte;</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bookmarkStart w:colFirst="0" w:colLast="0" w:name="_1823zdlscekb" w:id="10"/>
      <w:bookmarkEnd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que o empregado designado para trabalhar em um turno preste seus serviços no turno imediatamente subsequente;</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Implementar ações de formação e capacitação para todas as suas empregadas e empregados sobre prevenção e combate ao assédio moral, sexual e à discriminação, garantindo ambiente de trabalho seguro e respeitoso;</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Estabelecer canais de denúncia e procedimentos claros para recebimento, apuração e tratamento de casos de assédio e discriminação, assegurando a proteção dos denunciantes contra retaliações;</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divulgação das políticas de combate ao assédio e discriminação para todos os trabalhadores alocados na execução contratual, mediante campanhas educativas e informativos específicos;</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ao CONTRATANTE, quando solicitado, relatórios sobre as medidas adotadas e os resultados alcançados na implementação das políticas de enfrentamento ao assédio e discriminação;</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CONTRATANTE, no prazo máximo de 48 (quarenta e oito) horas, qualquer ocorrência de assédio ou discriminação envolvendo trabalhadores alocados na execução contratual, informando as medidas adotadas para apuração e correção;</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que as políticas de combate ao assédio e discriminação sejam extensivas a eventuais subcontratados, quando permitida a subcontratação.</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Viabilizar a emissão do cartão cidadão pela Caixa Econômica Federal para todos os empregados, no prazo máximo de 60 (sessenta) dias, contados do início da prestação dos serviços ou da admissão do empregado;</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Oferecer todos os meios necessários aos seus empregados para a obtenção de extratos de recolhimentos de seus direitos sociais, preferencialmente por meio eletrônico, quando disponível.</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 beneficiar da condição de optante pelo Simples Nacional, salvo quando se tratar das exceções previstas no § 5º-C do art. 18 da Lei Complementar nº 123, de 14 de dezembro de 2006; </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commentRangeStart w:id="12"/>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Realizar os serviços de manutenção e assistência técnica no(s) seguinte(s) local(is) ... (inserir endereço(s));</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trike w:val="1"/>
          <w:shd w:fill="auto" w:val="clear"/>
          <w:vertAlign w:val="baseline"/>
        </w:rPr>
      </w:pP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O técnico deverá se deslocar ao local da repartição, salvo se o CONTRATADO tiver unidade de prestação de serviços em distância de [....] (inserir distância conforme avaliação técnica) do local demandado</w:t>
      </w:r>
      <w:commentRangeEnd w:id="12"/>
      <w:r w:rsidDel="00000000" w:rsidR="00000000" w:rsidRPr="00000000">
        <w:commentReference w:id="12"/>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bookmarkStart w:colFirst="0" w:colLast="0" w:name="_ob1wzfi9xz1y" w:id="11"/>
      <w:bookmarkEnd w:id="11"/>
      <w:commentRangeStart w:id="13"/>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Ceder ao CONTRATANTE todos os direitos patrimoniais relativos ao objeto contratado, o qual poderá ser livremente utilizado e/ou alterado em outras ocasiões, sem necessidade de nova autorização do CONTRATADO.</w:t>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trike w:val="1"/>
        </w:rPr>
      </w:pP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trike w:val="1"/>
          <w:shd w:fill="auto" w:val="clear"/>
          <w:vertAlign w:val="baseline"/>
        </w:rPr>
      </w:pPr>
      <w:commentRangeStart w:id="14"/>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Nos casos em que haja um número mínimo de vinte e cinco colaboradores alocados no contrato, destinar 8% das vagas exclusivamente para mulheres vítimas de violência doméstica;</w:t>
      </w:r>
      <w:commentRangeEnd w:id="14"/>
      <w:r w:rsidDel="00000000" w:rsidR="00000000" w:rsidRPr="00000000">
        <w:commentReference w:id="14"/>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0" w:right="0" w:firstLine="0"/>
        <w:jc w:val="center"/>
        <w:rPr>
          <w:rFonts w:ascii="Arial" w:cs="Arial" w:eastAsia="Arial" w:hAnsi="Arial"/>
          <w:b w:val="1"/>
          <w:bCs w:val="1"/>
          <w:i w:val="0"/>
          <w:iCs w:val="0"/>
          <w:smallCaps w:val="0"/>
          <w:strike w:val="0"/>
          <w:color w:val="ff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0"/>
          <w:color w:val="ff0000"/>
          <w:sz w:val="24"/>
          <w:szCs w:val="24"/>
          <w:u w:val="single"/>
          <w:shd w:fill="auto" w:val="clear"/>
          <w:vertAlign w:val="baseline"/>
          <w:rtl w:val="0"/>
        </w:rPr>
        <w:t xml:space="preserve">OU</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15"/>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Considerando que se trata de contrato com número inferior a vinte e cinco colaboradores, a previsão do percentual para o emprego de mão de obra constituída por mulheres vítimas de violência doméstica será de </w:t>
      </w:r>
      <w:r w:rsidDel="00000000" w:rsidR="00000000" w:rsidRPr="00000000">
        <w:rPr>
          <w:rFonts w:ascii="Arial" w:cs="Arial" w:eastAsia="Arial" w:hAnsi="Arial"/>
          <w:b w:val="1"/>
          <w:bCs w:val="1"/>
          <w:i w:val="1"/>
          <w:iCs w:val="1"/>
          <w:color w:val="4f81bd"/>
          <w:sz w:val="20"/>
          <w:szCs w:val="20"/>
          <w:rtl w:val="0"/>
        </w:rPr>
        <w:t xml:space="preserve">1</w:t>
      </w:r>
      <w:r w:rsidDel="00000000" w:rsidR="00000000" w:rsidRPr="00000000">
        <w:rPr>
          <w:rFonts w:ascii="Arial" w:cs="Arial" w:eastAsia="Arial" w:hAnsi="Arial"/>
          <w:b w:val="1"/>
          <w:bCs w:val="1"/>
          <w:i w:val="1"/>
          <w:iCs w:val="1"/>
          <w:color w:val="ff0000"/>
          <w:sz w:val="20"/>
          <w:szCs w:val="20"/>
          <w:rtl w:val="0"/>
        </w:rPr>
        <w:t xml:space="preserve">%</w:t>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Sempre que houver um desligamento, o CONTRATADO deverá buscar atender ao percentual mínimo de </w:t>
      </w:r>
      <w:r w:rsidDel="00000000" w:rsidR="00000000" w:rsidRPr="00000000">
        <w:rPr>
          <w:rFonts w:ascii="Arial" w:cs="Arial" w:eastAsia="Arial" w:hAnsi="Arial"/>
          <w:b w:val="1"/>
          <w:bCs w:val="1"/>
          <w:i w:val="1"/>
          <w:iCs w:val="1"/>
          <w:color w:val="4f81bd"/>
          <w:sz w:val="20"/>
          <w:szCs w:val="20"/>
          <w:rtl w:val="0"/>
        </w:rPr>
        <w:t xml:space="preserve">1</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com a nova contratação.</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bookmarkStart w:colFirst="0" w:colLast="0" w:name="_r12mlpzcqyzy" w:id="12"/>
      <w:bookmarkEnd w:id="12"/>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Se não houver mulheres elegíveis em número suficiente para preencher as vagas reservadas, a empresa poderá contratar livremente.</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Para cálculo do percentual de vagas reservadas serão considerados todos os empregados alocados no contrato, incluindo folguistas e substitutos.</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percentual de mão-de-obra de que trata este item deverá ser mantido durante toda a execução contratual, ressalvado o subitem 9.61.3.</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CONTRATADO deve manter o sigilo da condição de violência doméstica da profissional que será alocada para a prestação do serviço.</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commentRangeStart w:id="16"/>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commentRangeEnd w:id="16"/>
      <w:r w:rsidDel="00000000" w:rsidR="00000000" w:rsidRPr="00000000">
        <w:commentReference w:id="16"/>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0" w:right="0" w:firstLine="0"/>
        <w:jc w:val="center"/>
        <w:rPr>
          <w:rFonts w:ascii="Arial" w:cs="Arial" w:eastAsia="Arial" w:hAnsi="Arial"/>
          <w:b w:val="1"/>
          <w:bCs w:val="1"/>
          <w:i w:val="0"/>
          <w:iCs w:val="0"/>
          <w:smallCaps w:val="0"/>
          <w:strike w:val="1"/>
          <w:color w:val="ff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1"/>
          <w:color w:val="ff0000"/>
          <w:sz w:val="24"/>
          <w:szCs w:val="24"/>
          <w:u w:val="single"/>
          <w:shd w:fill="auto" w:val="clear"/>
          <w:vertAlign w:val="baseline"/>
          <w:rtl w:val="0"/>
        </w:rPr>
        <w:t xml:space="preserve">OU </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17"/>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Manter, durante toda a vigência do contrato, capital social mínimo integralizado de acordo com os valores estipulados no art. 14 da Lei n.º 14.967/2024, apresentando, quando solicitada, a respectiva documentação comprobatória, no prazo fixado pela fiscalização contratual.</w:t>
      </w:r>
      <w:commentRangeEnd w:id="17"/>
      <w:r w:rsidDel="00000000" w:rsidR="00000000" w:rsidRPr="00000000">
        <w:commentReference w:id="17"/>
      </w:r>
      <w:r w:rsidDel="00000000" w:rsidR="00000000" w:rsidRPr="00000000">
        <w:rPr>
          <w:rtl w:val="0"/>
        </w:rPr>
      </w:r>
    </w:p>
    <w:p w:rsidR="00000000" w:rsidDel="00000000" w:rsidP="00000000" w:rsidRDefault="00000000" w:rsidRPr="00000000" w14:paraId="000000B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CLAÚSULA DÉCIMA - DA COMPENSAÇÃO DA JORNADA DE TRABALHO</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rFonts w:ascii="Arial" w:cs="Arial" w:eastAsia="Arial" w:hAnsi="Arial"/>
          <w:smallCaps w:val="0"/>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r w:rsidDel="00000000" w:rsidR="00000000" w:rsidRPr="00000000">
        <w:rPr>
          <w:rtl w:val="0"/>
        </w:rPr>
      </w:r>
    </w:p>
    <w:p w:rsidR="00000000" w:rsidDel="00000000" w:rsidP="00000000" w:rsidRDefault="00000000" w:rsidRPr="00000000" w14:paraId="000000B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commentRangeStart w:id="18"/>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OBRIGAÇÕES PERTINENTES À LGPD</w:t>
      </w:r>
      <w:commentRangeEnd w:id="18"/>
      <w:r w:rsidDel="00000000" w:rsidR="00000000" w:rsidRPr="00000000">
        <w:commentReference w:id="18"/>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A Administração deverá ser informada no prazo de 5 (cinco) dias úteis sobre todos os contratos de </w:t>
      </w:r>
      <w:r w:rsidDel="00000000" w:rsidR="00000000" w:rsidRPr="00000000">
        <w:rPr>
          <w:rFonts w:ascii="Arial" w:cs="Arial" w:eastAsia="Arial" w:hAnsi="Arial"/>
          <w:i w:val="1"/>
          <w:iCs w:val="1"/>
          <w:color w:val="ff0000"/>
          <w:sz w:val="20"/>
          <w:szCs w:val="20"/>
          <w:rtl w:val="0"/>
        </w:rPr>
        <w:t xml:space="preserve">sub-operação</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firmados ou que venham a ser celebrados pelo CONTRATADO.</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19"/>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É dever do CONTRATADO orientar e treinar seus empregados sobre os deveres, requisitos e responsabilidades decorrentes da LGPD. </w:t>
      </w:r>
      <w:commentRangeEnd w:id="19"/>
      <w:r w:rsidDel="00000000" w:rsidR="00000000" w:rsidRPr="00000000">
        <w:commentReference w:id="19"/>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CONTRATADO deverá exigir de </w:t>
      </w:r>
      <w:r w:rsidDel="00000000" w:rsidR="00000000" w:rsidRPr="00000000">
        <w:rPr>
          <w:rFonts w:ascii="Arial" w:cs="Arial" w:eastAsia="Arial" w:hAnsi="Arial"/>
          <w:i w:val="1"/>
          <w:iCs w:val="1"/>
          <w:color w:val="ff0000"/>
          <w:sz w:val="20"/>
          <w:szCs w:val="20"/>
          <w:rtl w:val="0"/>
        </w:rPr>
        <w:t xml:space="preserve">SUBOPERADORES</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e SUBCONTRATADOS o cumprimento dos deveres da presente cláusula, permanecendo integralmente responsável por garantir sua observância.</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20"/>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commentRangeEnd w:id="20"/>
      <w:r w:rsidDel="00000000" w:rsidR="00000000" w:rsidRPr="00000000">
        <w:commentReference w:id="20"/>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Os contratos e convênios de que trata o § 1º do art. 26 da LGPD</w:t>
      </w:r>
      <w:commentRangeStart w:id="21"/>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deverão ser comunicados à autoridade nacional.</w:t>
      </w:r>
      <w:commentRangeEnd w:id="21"/>
      <w:r w:rsidDel="00000000" w:rsidR="00000000" w:rsidRPr="00000000">
        <w:commentReference w:id="21"/>
      </w:r>
      <w:r w:rsidDel="00000000" w:rsidR="00000000" w:rsidRPr="00000000">
        <w:rPr>
          <w:rtl w:val="0"/>
        </w:rPr>
      </w:r>
    </w:p>
    <w:p w:rsidR="00000000" w:rsidDel="00000000" w:rsidP="00000000" w:rsidRDefault="00000000" w:rsidRPr="00000000" w14:paraId="000000C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GARANTIA DE EXECUÇÃO</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strike w:val="1"/>
        </w:rPr>
      </w:pPr>
      <w:commentRangeStart w:id="22"/>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Não haverá exigência de garantia contratual da execução.</w:t>
      </w:r>
      <w:commentRangeEnd w:id="22"/>
      <w:r w:rsidDel="00000000" w:rsidR="00000000" w:rsidRPr="00000000">
        <w:commentReference w:id="22"/>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59" w:lineRule="auto"/>
        <w:ind w:left="0" w:right="0" w:firstLine="0"/>
        <w:jc w:val="center"/>
        <w:rPr>
          <w:rFonts w:ascii="Arial" w:cs="Arial" w:eastAsia="Arial" w:hAnsi="Arial"/>
          <w:b w:val="1"/>
          <w:bCs w:val="1"/>
          <w:i w:val="0"/>
          <w:iCs w:val="0"/>
          <w:smallCaps w:val="0"/>
          <w:strike w:val="1"/>
          <w:color w:val="ff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1"/>
          <w:color w:val="ff0000"/>
          <w:sz w:val="24"/>
          <w:szCs w:val="24"/>
          <w:u w:val="single"/>
          <w:shd w:fill="auto" w:val="clear"/>
          <w:vertAlign w:val="baseline"/>
          <w:rtl w:val="0"/>
        </w:rPr>
        <w:t xml:space="preserve">OU</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Será exigida a prestação de garantia na presente contratação, conforme regras constantes do Termo de Referência.</w:t>
      </w:r>
    </w:p>
    <w:p w:rsidR="00000000" w:rsidDel="00000000" w:rsidP="00000000" w:rsidRDefault="00000000" w:rsidRPr="00000000" w14:paraId="000000C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INFRAÇÕES E SANÇÕES ADMINISTRATIVAS</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bookmarkStart w:colFirst="0" w:colLast="0" w:name="_s74oha9ueite" w:id="13"/>
      <w:bookmarkEnd w:id="1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p>
    <w:p w:rsidR="00000000" w:rsidDel="00000000" w:rsidP="00000000" w:rsidRDefault="00000000" w:rsidRPr="00000000" w14:paraId="000000C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DA EXTINÇÃO CONTRATUAL</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23"/>
      <w:r w:rsidDel="00000000" w:rsidR="00000000" w:rsidRPr="00000000">
        <w:rPr>
          <w:rFonts w:ascii="Arial" w:cs="Arial" w:eastAsia="Arial" w:hAnsi="Arial"/>
          <w:b w:val="0"/>
          <w:bCs w:val="0"/>
          <w:i w:val="1"/>
          <w:iCs w:val="1"/>
          <w:smallCaps w:val="0"/>
          <w:color w:val="ff0000"/>
          <w:sz w:val="20"/>
          <w:szCs w:val="20"/>
          <w:u w:val="none"/>
          <w:shd w:fill="auto" w:val="clear"/>
          <w:vertAlign w:val="baseline"/>
          <w:rtl w:val="0"/>
        </w:rPr>
        <w:t xml:space="preserve">O contrato será extinto quando vencido o prazo nele estipulado, independentemente de terem sido cumpridas ou não as obrigações de ambas as partes contraentes</w:t>
      </w:r>
      <w:commentRangeEnd w:id="23"/>
      <w:r w:rsidDel="00000000" w:rsidR="00000000" w:rsidRPr="00000000">
        <w:commentReference w:id="23"/>
      </w:r>
      <w:r w:rsidDel="00000000" w:rsidR="00000000" w:rsidRPr="00000000">
        <w:rPr>
          <w:rFonts w:ascii="Arial" w:cs="Arial" w:eastAsia="Arial" w:hAnsi="Arial"/>
          <w:b w:val="0"/>
          <w:bCs w:val="0"/>
          <w:i w:val="1"/>
          <w:iCs w:val="1"/>
          <w:smallCaps w:val="0"/>
          <w:color w:val="ff0000"/>
          <w:sz w:val="20"/>
          <w:szCs w:val="20"/>
          <w:u w:val="none"/>
          <w:shd w:fill="auto" w:val="clear"/>
          <w:vertAlign w:val="baseline"/>
          <w:rtl w:val="0"/>
        </w:rPr>
        <w:t xml:space="preserv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879" w:right="0" w:firstLine="0"/>
        <w:jc w:val="center"/>
        <w:rPr>
          <w:rFonts w:ascii="Arial" w:cs="Arial" w:eastAsia="Arial" w:hAnsi="Arial"/>
          <w:b w:val="1"/>
          <w:bCs w:val="1"/>
          <w:i w:val="1"/>
          <w:iCs w:val="1"/>
          <w:smallCaps w:val="0"/>
          <w:strike w:val="1"/>
          <w:color w:val="ff0000"/>
          <w:sz w:val="20"/>
          <w:szCs w:val="20"/>
          <w:u w:val="single"/>
          <w:shd w:fill="auto" w:val="clear"/>
          <w:vertAlign w:val="baseline"/>
        </w:rPr>
      </w:pPr>
      <w:bookmarkStart w:colFirst="0" w:colLast="0" w:name="_qli9aaau4yk8" w:id="14"/>
      <w:bookmarkEnd w:id="14"/>
      <w:r w:rsidDel="00000000" w:rsidR="00000000" w:rsidRPr="00000000">
        <w:rPr>
          <w:rFonts w:ascii="Arial" w:cs="Arial" w:eastAsia="Arial" w:hAnsi="Arial"/>
          <w:b w:val="1"/>
          <w:bCs w:val="1"/>
          <w:i w:val="1"/>
          <w:iCs w:val="1"/>
          <w:smallCaps w:val="0"/>
          <w:strike w:val="1"/>
          <w:color w:val="ff0000"/>
          <w:sz w:val="20"/>
          <w:szCs w:val="20"/>
          <w:u w:val="single"/>
          <w:shd w:fill="auto" w:val="clear"/>
          <w:vertAlign w:val="baseline"/>
          <w:rtl w:val="0"/>
        </w:rPr>
        <w:t xml:space="preserve">OU</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88" w:before="120" w:line="312" w:lineRule="auto"/>
        <w:ind w:left="-285" w:right="0" w:hanging="435"/>
        <w:jc w:val="both"/>
        <w:rPr>
          <w:strike w:val="1"/>
        </w:rPr>
      </w:pP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O contrato será extinto quando vencido o prazo nele estipulado, observado o art. 75, inciso VIII, da Lei n.º 14.133/2021, independentemente de terem sido cumpridas ou não as obrigações de ambas as </w:t>
      </w:r>
      <w:commentRangeStart w:id="24"/>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partes</w:t>
      </w:r>
      <w:commentRangeEnd w:id="24"/>
      <w:r w:rsidDel="00000000" w:rsidR="00000000" w:rsidRPr="00000000">
        <w:commentReference w:id="24"/>
      </w:r>
      <w:r w:rsidDel="00000000" w:rsidR="00000000" w:rsidRPr="00000000">
        <w:rPr>
          <w:rFonts w:ascii="Arial" w:cs="Arial" w:eastAsia="Arial" w:hAnsi="Arial"/>
          <w:b w:val="0"/>
          <w:bCs w:val="0"/>
          <w:i w:val="1"/>
          <w:iCs w:val="1"/>
          <w:smallCaps w:val="0"/>
          <w:strike w:val="1"/>
          <w:color w:val="ff0000"/>
          <w:sz w:val="20"/>
          <w:szCs w:val="20"/>
          <w:u w:val="none"/>
          <w:shd w:fill="auto" w:val="clear"/>
          <w:vertAlign w:val="baseline"/>
          <w:rtl w:val="0"/>
        </w:rPr>
        <w:t xml:space="preserve"> contraentes.</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do prazo nele fixado, sem ônus para o CONTRATANTE, mediante justificativa formal de que não dispõe de créditos orçamentários para sua continuidade ou de que o contrato não mais lhe oferece </w:t>
      </w:r>
      <w:commentRangeStart w:id="2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vantagem</w:t>
      </w:r>
      <w:commentRangeEnd w:id="25"/>
      <w:r w:rsidDel="00000000" w:rsidR="00000000" w:rsidRPr="00000000">
        <w:commentReference w:id="25"/>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smallCaps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Nesse caso, a extinção antecipada ocorrerá na próxima data de aniversário do contrato, garantido um prazo mínimo de dois meses para ciência formal do contratado, devendo ser observada a regra do art. 183 da Lei nº 14.133, de 2021 para a contagem deste prazo.</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w:t>
      </w:r>
      <w:commentRangeStart w:id="2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cabíveis</w:t>
      </w:r>
      <w:commentRangeEnd w:id="26"/>
      <w:r w:rsidDel="00000000" w:rsidR="00000000" w:rsidRPr="00000000">
        <w:commentReference w:id="26"/>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conceder prazo para que o CONTRATADO regularize suas obrigações trabalhistas ou suas condições de habilitação, sob pena de extinção contratual, quando não identificar má-fé ou a incapacidade de correção.</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Até que o CONTRATADO comprove o disposto no item anterior, o CONTRATANTE reterá:</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rsidR="00000000" w:rsidDel="00000000" w:rsidP="00000000" w:rsidRDefault="00000000" w:rsidRPr="00000000" w14:paraId="000000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valores das Notas fiscais ou Faturas correspondentes em valor proporcional ao inadimplemento, até que a situação seja regularizada.</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p>
    <w:p w:rsidR="00000000" w:rsidDel="00000000" w:rsidP="00000000" w:rsidRDefault="00000000" w:rsidRPr="00000000" w14:paraId="000000E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p>
    <w:p w:rsidR="00000000" w:rsidDel="00000000" w:rsidP="00000000" w:rsidRDefault="00000000" w:rsidRPr="00000000" w14:paraId="000000E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35" w:right="0" w:hanging="49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em caso de alteração da convenção coletiva de </w:t>
      </w:r>
      <w:commentRangeStart w:id="2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trabalho</w:t>
      </w:r>
      <w:commentRangeEnd w:id="27"/>
      <w:r w:rsidDel="00000000" w:rsidR="00000000" w:rsidRPr="00000000">
        <w:commentReference w:id="27"/>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rsidR="00000000" w:rsidDel="00000000" w:rsidP="00000000" w:rsidRDefault="00000000" w:rsidRPr="00000000" w14:paraId="000000E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p>
    <w:p w:rsidR="00000000" w:rsidDel="00000000" w:rsidP="00000000" w:rsidRDefault="00000000" w:rsidRPr="00000000" w14:paraId="000000E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0E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DOTAÇÃO ORÇAMENTÁRIA</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0"/>
          <w:szCs w:val="20"/>
          <w:rtl w:val="0"/>
        </w:rPr>
        <w:t xml:space="preserve">Gestão/Unidade: 26439;</w:t>
      </w:r>
    </w:p>
    <w:p w:rsidR="00000000" w:rsidDel="00000000" w:rsidP="00000000" w:rsidRDefault="00000000" w:rsidRPr="00000000" w14:paraId="000000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0"/>
          <w:szCs w:val="20"/>
          <w:rtl w:val="0"/>
        </w:rPr>
        <w:t xml:space="preserve">Fonte de Recursos: 100000000;</w:t>
      </w:r>
    </w:p>
    <w:p w:rsidR="00000000" w:rsidDel="00000000" w:rsidP="00000000" w:rsidRDefault="00000000" w:rsidRPr="00000000" w14:paraId="000000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0"/>
          <w:szCs w:val="20"/>
          <w:rtl w:val="0"/>
        </w:rPr>
        <w:t xml:space="preserve">Programa de Trabalho: 231788;</w:t>
      </w:r>
    </w:p>
    <w:p w:rsidR="00000000" w:rsidDel="00000000" w:rsidP="00000000" w:rsidRDefault="00000000" w:rsidRPr="00000000" w14:paraId="000000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0"/>
          <w:szCs w:val="20"/>
          <w:rtl w:val="0"/>
        </w:rPr>
        <w:t xml:space="preserve">Elemento de Despesa: 3.3.90.37.03;</w:t>
      </w:r>
    </w:p>
    <w:p w:rsidR="00000000" w:rsidDel="00000000" w:rsidP="00000000" w:rsidRDefault="00000000" w:rsidRPr="00000000" w14:paraId="000000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0"/>
          <w:szCs w:val="20"/>
          <w:rtl w:val="0"/>
        </w:rPr>
        <w:t xml:space="preserve">Plano Interno: L0000P01MON;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Nota de empenho: </w:t>
      </w:r>
      <w:commentRangeStart w:id="28"/>
      <w:r w:rsidDel="00000000" w:rsidR="00000000" w:rsidRPr="00000000">
        <w:rPr>
          <w:rFonts w:ascii="Arial" w:cs="Arial" w:eastAsia="Arial" w:hAnsi="Arial"/>
          <w:b w:val="0"/>
          <w:bCs w:val="0"/>
          <w:i w:val="0"/>
          <w:iCs w:val="0"/>
          <w:smallCaps w:val="0"/>
          <w:color w:val="ff0000"/>
          <w:sz w:val="20"/>
          <w:szCs w:val="20"/>
          <w:u w:val="none"/>
          <w:shd w:fill="auto" w:val="clear"/>
          <w:vertAlign w:val="baseline"/>
          <w:rtl w:val="0"/>
        </w:rPr>
        <w:t xml:space="preserve">[...]</w:t>
      </w:r>
      <w:commentRangeEnd w:id="28"/>
      <w:r w:rsidDel="00000000" w:rsidR="00000000" w:rsidRPr="00000000">
        <w:commentReference w:id="28"/>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29"/>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commentRangeEnd w:id="29"/>
      <w:r w:rsidDel="00000000" w:rsidR="00000000" w:rsidRPr="00000000">
        <w:commentReference w:id="29"/>
      </w:r>
      <w:r w:rsidDel="00000000" w:rsidR="00000000" w:rsidRPr="00000000">
        <w:rPr>
          <w:rtl w:val="0"/>
        </w:rPr>
      </w:r>
    </w:p>
    <w:p w:rsidR="00000000" w:rsidDel="00000000" w:rsidP="00000000" w:rsidRDefault="00000000" w:rsidRPr="00000000" w14:paraId="000000F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DOS CASOS OMISSOS</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commentRangeStart w:id="3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30"/>
      <w:r w:rsidDel="00000000" w:rsidR="00000000" w:rsidRPr="00000000">
        <w:commentReference w:id="30"/>
      </w:r>
      <w:r w:rsidDel="00000000" w:rsidR="00000000" w:rsidRPr="00000000">
        <w:rPr>
          <w:rtl w:val="0"/>
        </w:rPr>
      </w:r>
    </w:p>
    <w:p w:rsidR="00000000" w:rsidDel="00000000" w:rsidP="00000000" w:rsidRDefault="00000000" w:rsidRPr="00000000" w14:paraId="000000F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 PUBLICAÇÃO</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p>
    <w:p w:rsidR="00000000" w:rsidDel="00000000" w:rsidP="00000000" w:rsidRDefault="00000000" w:rsidRPr="00000000" w14:paraId="000000F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240" w:line="240" w:lineRule="auto"/>
        <w:ind w:left="360" w:right="0" w:hanging="360"/>
        <w:jc w:val="both"/>
        <w:rPr>
          <w:rFonts w:ascii="Arial" w:cs="Arial" w:eastAsia="Arial" w:hAnsi="Arial"/>
          <w:i w:val="0"/>
          <w:iCs w:val="0"/>
          <w:smallCaps w:val="0"/>
          <w:strike w:val="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NONA– FORO</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285" w:right="0" w:hanging="43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Justiça Federal em </w:t>
      </w:r>
      <w:r w:rsidDel="00000000" w:rsidR="00000000" w:rsidRPr="00000000">
        <w:rPr>
          <w:rFonts w:ascii="Arial" w:cs="Arial" w:eastAsia="Arial" w:hAnsi="Arial"/>
          <w:i w:val="1"/>
          <w:iCs w:val="1"/>
          <w:color w:val="4f81bd"/>
          <w:sz w:val="20"/>
          <w:szCs w:val="20"/>
          <w:rtl w:val="0"/>
        </w:rPr>
        <w:t xml:space="preserve">São Paulo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Seção Judiciária de </w:t>
      </w:r>
      <w:r w:rsidDel="00000000" w:rsidR="00000000" w:rsidRPr="00000000">
        <w:rPr>
          <w:rFonts w:ascii="Arial" w:cs="Arial" w:eastAsia="Arial" w:hAnsi="Arial"/>
          <w:i w:val="1"/>
          <w:iCs w:val="1"/>
          <w:color w:val="4f81bd"/>
          <w:sz w:val="20"/>
          <w:szCs w:val="20"/>
          <w:rtl w:val="0"/>
        </w:rPr>
        <w:t xml:space="preserve">Catanduva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commentRangeStart w:id="31"/>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commentRangeEnd w:id="31"/>
      <w:r w:rsidDel="00000000" w:rsidR="00000000" w:rsidRPr="00000000">
        <w:commentReference w:id="31"/>
      </w:r>
      <w:r w:rsidDel="00000000" w:rsidR="00000000" w:rsidRPr="00000000">
        <w:rPr>
          <w:rtl w:val="0"/>
        </w:rPr>
      </w:r>
    </w:p>
    <w:p w:rsidR="00000000" w:rsidDel="00000000" w:rsidP="00000000" w:rsidRDefault="00000000" w:rsidRPr="00000000" w14:paraId="000000FE">
      <w:pPr>
        <w:spacing w:after="288" w:before="120" w:line="312" w:lineRule="auto"/>
        <w:ind w:firstLine="567"/>
        <w:jc w:val="center"/>
        <w:rPr>
          <w:rFonts w:ascii="Arial" w:cs="Arial" w:eastAsia="Arial" w:hAnsi="Arial"/>
          <w:sz w:val="20"/>
          <w:szCs w:val="20"/>
        </w:rPr>
      </w:pPr>
      <w:commentRangeStart w:id="32"/>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0FF">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100">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101">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102">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103">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104">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commentRangeEnd w:id="32"/>
      <w:r w:rsidDel="00000000" w:rsidR="00000000" w:rsidRPr="00000000">
        <w:commentReference w:id="32"/>
      </w:r>
      <w:r w:rsidDel="00000000" w:rsidR="00000000" w:rsidRPr="00000000">
        <w:rPr>
          <w:rtl w:val="0"/>
        </w:rPr>
      </w:r>
    </w:p>
    <w:p w:rsidR="00000000" w:rsidDel="00000000" w:rsidP="00000000" w:rsidRDefault="00000000" w:rsidRPr="00000000" w14:paraId="00000105">
      <w:pPr>
        <w:spacing w:after="288" w:before="120" w:line="312" w:lineRule="auto"/>
        <w:ind w:firstLine="567"/>
        <w:rPr>
          <w:rFonts w:ascii="Arial" w:cs="Arial" w:eastAsia="Arial" w:hAnsi="Arial"/>
          <w:sz w:val="20"/>
          <w:szCs w:val="20"/>
        </w:rPr>
      </w:pPr>
      <w:r w:rsidDel="00000000" w:rsidR="00000000" w:rsidRPr="00000000">
        <w:rPr>
          <w:rtl w:val="0"/>
        </w:rPr>
      </w:r>
    </w:p>
    <w:sectPr>
      <w:headerReference r:id="rId8" w:type="default"/>
      <w:footerReference r:id="rId9" w:type="default"/>
      <w:pgSz w:h="16838" w:w="11906" w:orient="portrait"/>
      <w:pgMar w:bottom="1418" w:top="1418" w:left="1134" w:right="1134"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utor" w:id="11" w:date="1970-01-01T00:00:01Z">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1: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Via de regra, a prestação de serviços de modo geral é hipótese de incidência de tributação municipal (Imposto Sobre Serviços de Qualquer Natureza - ISSQN), conforme lista anexa à Lei Complementar nº 116/2003.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Existem, contudo, situações em que a prestação de um serviço pode dar ensejo à incidência de tributação estadual pelo ICMS. Como exemplos, citem-se os serviços de transporte interestadual e intermunicipal e os serviços de comunicação (art. 155, II, da CF/88), bem como as exceções expressamente previstas na lista da referida LC 116/2003.</w:t>
      </w:r>
    </w:p>
  </w:comment>
  <w:comment w:author="Autor" w:id="21" w:date="1970-01-01T00:00:01Z">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1: Todas as disposições da presente cláusula são meramente indicativas. Pode ser necessário que se suprimam algumas das obrigações ou se arrolem outras, conforme as peculiaridades do órgão e as especificações do serviço a ser executado.</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Nota explicativa 2: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Essas cláusulas estão previstas no Anexo II da Resolução CD/ANPD nº 19, de 2024, e sua implementação nos contratos administrativos, quando for o caso, pressupõe a adoção integral e sem alteração do texto disponibilizado pela ANPD.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w:t>
      </w:r>
    </w:p>
  </w:comment>
  <w:comment w:author="Autor" w:id="12" w:date="1970-01-01T00:00:01Z">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No caso de contratações de serviços de manutenção e assistência técnica, recomenda-se incluir esses itens, a luz do art. 47, § 2º, da Lei nº 14.133, de 2021.</w:t>
      </w:r>
    </w:p>
  </w:comment>
  <w:comment w:author="Autor" w:id="22" w:date="1970-01-01T00:00:01Z">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Fica a critério da Administração exigir, ou não, a garantia (salvo nos casos em que consta em norma a obrigatoriedade de sua exigência). Exigindo, deve haver previsão no edital ou aviso de contratação direta e no contrato. Não exigindo, deve fazer constar a previsão, e justificar as razões para essa decisão, considerando os estudos preliminares e a análise de riscos feita para a contratação.</w:t>
      </w:r>
    </w:p>
  </w:comment>
  <w:comment w:author="Autor" w:id="15" w:date="1970-01-01T00:00:01Z">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Em conformidade com o disposto no art. 3º, § 1º-A, "Os editais de licitação e os avisos de contratação direta para a contratação de serviços contínuos com regime de dedicação exclusiva de mão de obra poderão prever reserva de vagas em contratos com quantitativo inferior a vinte e cinco colaboradores, admitida, nesses casos, a previsão de percentual inferior a 8% (oito por cento). "</w:t>
      </w:r>
    </w:p>
  </w:comment>
  <w:comment w:author="Autor" w:id="9" w:date="1970-01-01T00:00:01Z">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objeto.</w:t>
      </w:r>
    </w:p>
  </w:comment>
  <w:comment w:author="Autor" w:id="19" w:date="1970-01-01T00:00:01Z">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w:t>
      </w:r>
    </w:p>
  </w:comment>
  <w:comment w:author="Autor" w:id="10" w:date="1970-01-01T00:00:01Z">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author="Autor" w:id="20" w:date="1970-01-01T00:00:01Z">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Se o Contratante entender oportuno, é possível especificar, nesta cláusula, rotinas ou diligências mais adequadas ao objeto contratual respectivo.</w:t>
      </w:r>
    </w:p>
  </w:comment>
  <w:comment w:author="Autor" w:id="8" w:date="1970-01-01T00:00:01Z">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Essa disposição decorre do §4º, do art. 137, da Lei nº 14.133, de 2021.</w:t>
      </w:r>
    </w:p>
  </w:comment>
  <w:comment w:author="Autor" w:id="18" w:date="1970-01-01T00:00:01Z">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1: As cláusulas dessa seção são necessárias para cumprimento da Lei nº 13.709, de 14 de agosto de 2018 (LGPD), caso a contratação envolva, de qualquer forma, o tratamento de dados pessoais, devendo ser incluída e ajustada nessa hipótese.</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2: 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 tema deve ser avaliado pela Administração com base nos riscos da contratação em relação aos dados pessoais eventualmente envolvidos.</w:t>
      </w:r>
    </w:p>
  </w:comment>
  <w:comment w:author="Autor" w:id="6" w:date="1970-01-01T00:00:01Z">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author="Autor" w:id="29" w:date="1970-01-01T00:00:01Z">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author="Autor" w:id="0" w:date="1970-01-01T00:00:01Z">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ORIENTAÇÕES PARA USO DO MODELO – LEITURA OBRIGATÓRIA</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O presente modelo de Contrato procura fornecer um ponto de partida para a definição do objeto e condições da contratação. As cláusulas contidas nos modelos de minuta contratual, ao contrário do TR, foram feitas para sofrerem poucas alterações. No entanto, havendo a necessidade de modificações, remanesce plenamente possível assim proceder.</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A redação em preto consiste no que se espera ser invariável. Ela até pode sofrer modificações a depender do caso concreto, mas a diferença é que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Alguns itens receberam notas explicativas, destacadas para compreensão do agente ou setor responsável pela elaboração da Minuta Contratual, que deverão ser devidamente suprimidas ao se finalizar o documento na versão original.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author="Autor" w:id="7" w:date="1970-01-01T00:00:01Z">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author="Autor" w:id="1" w:date="1970-01-01T00:00:01Z">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não constem os números de documentos pessoais das pessoas naturais que irão assiná-los, como ocorre normalmente com os representantes da Administração e da empresa contratada.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author="Autor" w:id="30" w:date="1970-01-01T00:00:01Z">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(cf. Boletim de Jurisprudência n.º 244, sessões 6 e 7 de novembro de 2018). Consta do referido Acórdão, nesse sentido, que: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author="Autor" w:id="4" w:date="1970-01-01T00:00:01Z">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Utilizar esta redação para contratações emergenciais, fundadas no art. 75, VIII, da Lei n.º 14.133, de 2021, independentemente da natureza do objeto ser de escopo ou, em tese, continuada.</w:t>
      </w:r>
    </w:p>
  </w:comment>
  <w:comment w:author="Autor" w:id="27" w:date="1970-01-01T00:00:01Z">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A previsão decorre de recomendação nesse sentido constante no Acórdão 1207/2024 - TCU - Plenário, em sede de Consulta formulada pela Ministra de Estado da Gestão e da Inovação em Serviços Públicos:</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"9.2.4. constitui motivo para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comment>
  <w:comment w:author="Autor" w:id="32" w:date="1970-01-01T00:00:01Z">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dispensada a assinatura de testemunhas quando sua integridade for conferida por provedor de assinatura”.</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 w:author="Autor" w:id="5" w:date="1970-01-01T00:00:01Z">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Caso se trate de contrato de valor estimativo, em que a própria demanda é variável, cabe inserir o subitem acima.</w:t>
      </w:r>
    </w:p>
  </w:comment>
  <w:comment w:author="Autor" w:id="2" w:date="1970-01-01T00:00:01Z">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author="Autor" w:id="25" w:date="1970-01-01T00:00:01Z">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A sistemática desses itens decorre do que dispõe o art. 106, III e §1º, da Lei nº 14.133/21, com a interpretação conferida pela Orientação Normativa AGU nº 98, de 8 de agosto de 2025, segundo a qual: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“Enunciado: I - A extinção antecipada do contrato de execução contínua com fundamento na ausência de créditos orçamentários ou na perda de vantagem contratual poderá se dar com ônus ou sem ônus para a Administração Pública.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II - A extinção antecipada do contrato de execução contínua nestas hipóteses, deverá ser justificada formalmente pela Administração Pública, observada as seguintes balizas:</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a justificativa deve ser fundamentada na ausência de créditos orçamentários ou na perda de vantagem contratual, conforme art. 106, III da Lei nº 14.133/2021;</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 a justificativa deve apresentar elementos objetivos e documentados que comprovem a ausência de recursos ou a perda da vantagem contratual.</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a compreensão do entendimento adotado, vale trazer um exemplo: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Se a comunicação ao contratado noticiando a extinção ocorrer até 20 de março de 2026 (dois meses antes da data de aniversário), a extinção poderá ocorrer na data de aniversário, ou seja, 20 de maio de 2026, sem ônus para a Administração;</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w:t>
      </w:r>
    </w:p>
  </w:comment>
  <w:comment w:author="Autor" w:id="3" w:date="1970-01-01T00:00:01Z">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Conforme a Lei nº 10.522, de 2002, com a redação conferida pela Lei nº 14.973, de 2024:</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 6º É obrigatória a consulta prévia ao Cadin, pelos órgãos e entidades da Administração Pública Federal, direta e indireta, para:   (Vide Medida Provisória nº 1.259, de 2024)</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III - celebração de convênios, acordos, ajustes ou contratos que envolvam desembolso, a qualquer título, de recursos públicos, e respectivos aditamentos.</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 6º-A. A existência de registro no Cadin, quando da consulta prévia de que trata o art. 6º, constitui fator impeditivo para a realização de qualquer dos atos previstos nos incisos I, II e III do caput do art. 6º.     (Incluído pela Lei nº 14.973, de 2024)".</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alteração veiculada pela Lei nº 14.973, de 2024, foi analisada por meio do PARECER n. 00063/2024/DECOR/CGU/AGU</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(NUP: 12600.101013/2023-10), aprovado pelo Despacho do Ministro Chefe da Advocacia-Geral da União n.º 539, de 17, de dezembro de 2024, com as seguintes conclusões: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Com a inclusão do art. 6º-A na Lei 10.522/2002 pela Lei n.º 14.973/2024 o registro das empresas no CADIN passou a impedir a celebração de convênios, acordos, ajustes ou contratos que envolvam desembolso, a qualquer título, de recursos públicos, e respectivos aditamentos;</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 Segundo o art. 50 da Lei n.º 14.973/2024, as disposições desta Lei entraram em vigor na data da sua publicação: no dia 16 de setembro de 2024;</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 Da edição desta norma não foram previstas regras de transição e nem autorizado o estabelecimento de um regime de transição em abstrato pela Administração Pública;</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 O art. 6º- A da Lei nº 10.522/2002 deve ser aplicado aos convênios, acordos, ajustes e contratos que envolvam desembolso, a qualquer título, de recursos públicos, firmados a partir da data da publicação da norma;  [...]".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author="Autor" w:id="26" w:date="1970-01-01T00:00:01Z">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das verbas trabalhistas aos empregados alocados à execução do serviço. Decorrem, ainda, do disposto na Instrução Normativa SEGES/MP nº 5 de 26 de maio de 2017, cuja aplicação foi autorizada pela Instrução Normativa SEGES/ME nº 98, de 26 de dezembro de 2022.</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author="Guilherme Felipe Florencio" w:id="31" w:date="2026-05-14T13:18:12Z">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Preencher antes de finalizar</w:t>
      </w:r>
    </w:p>
  </w:comment>
  <w:comment w:author="Autor" w:id="13" w:date="1970-01-01T00:00:01Z">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1: Incluir esses itens caso o contrato tenha por objeto a elaboração de 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art. 93, caput, da Lei n.º 14.133/2021.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2: Vale registrar que o §2º do art. 93 admite que a Administração deixe de exigir a cessão de direitos “quando o objeto da contratação envolver atividade de pesquisa e desenvolvimento de caráter científico, tecnológico ou de inovação, considerados os princípios e os mecanismos instituídos pela Lei nº 10.973, de 2 de dezembro de 2004”.</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3: Acrescentar o subitem a seguir caso o objeto consista na elaboração de projeto relativo a obra imaterial de caráter tecnológico, insuscetível de privilégio, nos termos do art. 93, § 1º, da Lei n.º 14.133/2021.</w:t>
      </w:r>
    </w:p>
  </w:comment>
  <w:comment w:author="Autor" w:id="23" w:date="1970-01-01T00:00:01Z">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Use a redação desse itens  para os contratos de fornecimentos contínuos e de aluguel de equipamentos e à utilização de programas de informática (art. 106, da Lei n.º 14.133, de 2021).</w:t>
      </w:r>
    </w:p>
  </w:comment>
  <w:comment w:author="Autor" w:id="16" w:date="1970-01-01T00:00:01Z">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A disposição decorre da tese fixada pelo Supremo Tribunal Federal, no âmbito do Tema 1118, de repercussão geral, no sentido de que, nos contratos de terceirização, a Administração Pública deverá exigir da contratada a comprovação de capital social integralizado compatível com o número de empregados, na forma do art. 4º-B da Lei nº 6.019/1974, a fim de evitar eventual responsabilização subsidiária por encargos trabalhistas gerados pelo inadimplemento de empresa prestadora de serviços. Assim, além de se tratar de condição para a contratação, o contratado deverá cumprir essa exigência ao longo de toda a vigência contratual.</w:t>
      </w:r>
    </w:p>
  </w:comment>
  <w:comment w:author="Autor" w:id="14" w:date="1970-01-01T00:00:01Z">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1: O Ministério da Gestão e da Inovação em Serviços Públicos e o Ministério das Mulheres ﬁrmarão acordo de adesão com as unidades responsáveis pela política pública de atenção a mulheres vítimas de violência doméstica  para possibilitar a implantação da política pública tratada pelo Decreto 11.430, de 8 de março de 2023.</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2: Conforme Decreto 11.430,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3: 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4: A medida deve constar como obrigação contratual e não como exigência de habilitação, pois exigências de habilitação são restritamente as previstas no Capítulo VI do Título II da Lei nº 14.133, de 2021.</w:t>
      </w:r>
    </w:p>
  </w:comment>
  <w:comment w:author="Autor" w:id="24" w:date="1970-01-01T00:00:01Z">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Use a redação do item 12.4 para contratos decorrentes da hipótese de dispensa de licitação prevista no art. 75, inciso VIII, da Lei n° 14.133/2021.</w:t>
      </w:r>
    </w:p>
  </w:comment>
  <w:comment w:author="Autor" w:id="17" w:date="1970-01-01T00:00:01Z">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Nota Explicativa: Caso se trate da contratação de serviços de vigilância e transporte de valores, deverá ser adotada a segunda opção de redação para o item, uma vez que a exigência de capital social mínimo integralizado, em hipóteses tais, deverá observar o disposto no art. 14 da Lei n.º 14.967, de 9 de setembro de 2024, que institui o Estatuto da Segurança Privada e da Segurança das Instituições Financeiras.</w:t>
      </w:r>
    </w:p>
  </w:comment>
  <w:comment w:author="Guilherme Felipe Florencio" w:id="28" w:date="2026-05-14T13:16:46Z">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preencher antes de finalizar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Termo de Contrato – Licitação e Contratação Direta - Serviços contínuos com regime de dedicação exclusiva de mão de obra - Lei nº 14.133, de 2021</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819"/>
        <w:tab w:val="left" w:leader="none" w:pos="5270"/>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DEZ/2025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285" w:hanging="435"/>
      </w:pPr>
      <w:rPr>
        <w:b w:val="0"/>
        <w:bCs w:val="0"/>
        <w:i w:val="0"/>
        <w:iCs w:val="0"/>
        <w:strike w:val="0"/>
        <w:color w:val="000000"/>
        <w:sz w:val="20"/>
        <w:szCs w:val="20"/>
        <w:u w:val="none"/>
      </w:rPr>
    </w:lvl>
    <w:lvl w:ilvl="2">
      <w:start w:val="1"/>
      <w:numFmt w:val="decimal"/>
      <w:lvlText w:val="%1.%2.%3."/>
      <w:lvlJc w:val="left"/>
      <w:pPr>
        <w:ind w:left="-135" w:hanging="495"/>
      </w:pPr>
      <w:rPr>
        <w:rFonts w:ascii="Arial" w:cs="Arial" w:eastAsia="Arial" w:hAnsi="Arial"/>
        <w:b w:val="0"/>
        <w:bCs w:val="0"/>
        <w:i w:val="0"/>
        <w:iCs w:val="0"/>
        <w:strike w:val="0"/>
        <w:color w:val="000000"/>
        <w:sz w:val="20"/>
        <w:szCs w:val="20"/>
      </w:rPr>
    </w:lvl>
    <w:lvl w:ilvl="3">
      <w:start w:val="1"/>
      <w:numFmt w:val="decimal"/>
      <w:lvlText w:val="%1.%2.%3.%4."/>
      <w:lvlJc w:val="left"/>
      <w:pPr>
        <w:ind w:left="285" w:hanging="645"/>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